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B0988">
        <w:rPr>
          <w:b/>
        </w:rPr>
        <w:t>0</w:t>
      </w:r>
      <w:r w:rsidR="000F2421">
        <w:rPr>
          <w:b/>
        </w:rPr>
        <w:t>63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«уголок здоровья»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 о сведениях здоровья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0F2421">
        <w:rPr>
          <w:sz w:val="24"/>
          <w:szCs w:val="24"/>
        </w:rPr>
        <w:t>цветной печатью</w:t>
      </w:r>
      <w:r w:rsidR="00227BC2" w:rsidRPr="000F2421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0F2421">
        <w:rPr>
          <w:sz w:val="24"/>
          <w:szCs w:val="24"/>
        </w:rPr>
        <w:t xml:space="preserve"> Имеет пластиковые карманы для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  <w:r w:rsidR="000F2421">
              <w:rPr>
                <w:sz w:val="24"/>
                <w:szCs w:val="24"/>
              </w:rPr>
              <w:t>Также должен иметь 3 кармана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8059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>чем 4</w:t>
            </w:r>
            <w:r w:rsidR="0068059E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>0мм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68059E">
              <w:rPr>
                <w:sz w:val="24"/>
                <w:szCs w:val="24"/>
              </w:rPr>
              <w:t>8</w:t>
            </w:r>
            <w:r w:rsidR="00E52BA5">
              <w:rPr>
                <w:sz w:val="24"/>
                <w:szCs w:val="24"/>
              </w:rPr>
              <w:t>00мм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bookmarkStart w:id="0" w:name="_GoBack"/>
      <w:bookmarkEnd w:id="0"/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F2421"/>
    <w:rsid w:val="00163E29"/>
    <w:rsid w:val="001E6E6F"/>
    <w:rsid w:val="00227BC2"/>
    <w:rsid w:val="00287713"/>
    <w:rsid w:val="002B0806"/>
    <w:rsid w:val="00356C45"/>
    <w:rsid w:val="003C517B"/>
    <w:rsid w:val="004F17E1"/>
    <w:rsid w:val="006151D5"/>
    <w:rsid w:val="006739B3"/>
    <w:rsid w:val="0068059E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25CD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2018-04-13T13:41:00Z</dcterms:created>
  <dcterms:modified xsi:type="dcterms:W3CDTF">2018-04-13T13:41:00Z</dcterms:modified>
</cp:coreProperties>
</file>